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A89BB1B" w:rsidP="15B6DA6F" w:rsidRDefault="0A89BB1B" w14:paraId="0D3D90D1" w14:textId="18E905F6">
      <w:pPr>
        <w:rPr>
          <w:rFonts w:eastAsia="" w:eastAsiaTheme="minorEastAsia"/>
          <w:color w:val="000000" w:themeColor="text1" w:themeTint="FF" w:themeShade="FF"/>
          <w:sz w:val="24"/>
          <w:szCs w:val="24"/>
        </w:rPr>
      </w:pPr>
      <w:r w:rsidRPr="15B6DA6F" w:rsidR="0A89BB1B">
        <w:rPr>
          <w:rFonts w:eastAsia="" w:eastAsiaTheme="minorEastAsia"/>
          <w:b w:val="1"/>
          <w:bCs w:val="1"/>
          <w:color w:val="000000" w:themeColor="text1" w:themeTint="FF" w:themeShade="FF"/>
          <w:sz w:val="24"/>
          <w:szCs w:val="24"/>
        </w:rPr>
        <w:t>Release Notes for Custom Path Tool V2.0.7</w:t>
      </w:r>
      <w:r w:rsidRPr="15B6DA6F" w:rsidR="0A89BB1B">
        <w:rPr>
          <w:rFonts w:eastAsia="" w:eastAsiaTheme="minorEastAsia"/>
          <w:b w:val="1"/>
          <w:bCs w:val="1"/>
          <w:color w:val="000000" w:themeColor="text1" w:themeTint="FF" w:themeShade="FF"/>
          <w:sz w:val="24"/>
          <w:szCs w:val="24"/>
        </w:rPr>
        <w:t>:</w:t>
      </w:r>
    </w:p>
    <w:p w:rsidR="0A89BB1B" w:rsidP="15B6DA6F" w:rsidRDefault="0A89BB1B" w14:paraId="1041F87C" w14:textId="757B1B92">
      <w:pPr>
        <w:pStyle w:val="ListParagraph"/>
        <w:numPr>
          <w:ilvl w:val="0"/>
          <w:numId w:val="1"/>
        </w:numPr>
        <w:suppressLineNumbers w:val="0"/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eastAsia="" w:eastAsiaTheme="minorEastAsia"/>
          <w:color w:val="000000" w:themeColor="text1" w:themeTint="FF" w:themeShade="FF"/>
          <w:sz w:val="24"/>
          <w:szCs w:val="24"/>
        </w:rPr>
      </w:pPr>
      <w:r w:rsidRPr="15B6DA6F" w:rsidR="0A89BB1B">
        <w:rPr>
          <w:rFonts w:eastAsia="" w:eastAsiaTheme="minorEastAsia"/>
          <w:color w:val="000000" w:themeColor="text1" w:themeTint="FF" w:themeShade="FF"/>
          <w:sz w:val="24"/>
          <w:szCs w:val="24"/>
        </w:rPr>
        <w:t xml:space="preserve">Added rental credit </w:t>
      </w:r>
      <w:r w:rsidRPr="15B6DA6F" w:rsidR="0A89BB1B">
        <w:rPr>
          <w:rFonts w:eastAsia="" w:eastAsiaTheme="minorEastAsia"/>
          <w:color w:val="000000" w:themeColor="text1" w:themeTint="FF" w:themeShade="FF"/>
          <w:sz w:val="24"/>
          <w:szCs w:val="24"/>
        </w:rPr>
        <w:t>feature</w:t>
      </w:r>
      <w:r w:rsidRPr="15B6DA6F" w:rsidR="0A89BB1B">
        <w:rPr>
          <w:rFonts w:eastAsia="" w:eastAsiaTheme="minorEastAsia"/>
          <w:color w:val="000000" w:themeColor="text1" w:themeTint="FF" w:themeShade="FF"/>
          <w:sz w:val="24"/>
          <w:szCs w:val="24"/>
        </w:rPr>
        <w:t>.</w:t>
      </w:r>
    </w:p>
    <w:p w:rsidR="7A9C66D9" w:rsidP="18546D4F" w:rsidRDefault="7A9C66D9" w14:paraId="60BF308D" w14:textId="3D813EEF">
      <w:pPr>
        <w:rPr>
          <w:rFonts w:eastAsia="" w:eastAsiaTheme="minorEastAsia"/>
          <w:color w:val="000000" w:themeColor="text1" w:themeTint="FF" w:themeShade="FF"/>
          <w:sz w:val="24"/>
          <w:szCs w:val="24"/>
        </w:rPr>
      </w:pPr>
      <w:r w:rsidRPr="18546D4F" w:rsidR="7A9C66D9">
        <w:rPr>
          <w:rFonts w:eastAsia="" w:eastAsiaTheme="minorEastAsia"/>
          <w:b w:val="1"/>
          <w:bCs w:val="1"/>
          <w:color w:val="000000" w:themeColor="text1" w:themeTint="FF" w:themeShade="FF"/>
          <w:sz w:val="24"/>
          <w:szCs w:val="24"/>
        </w:rPr>
        <w:t>Release Notes for Custom Path Tool V2.0.6:</w:t>
      </w:r>
    </w:p>
    <w:p w:rsidR="7A9C66D9" w:rsidP="18546D4F" w:rsidRDefault="7A9C66D9" w14:paraId="1E7C65EE" w14:textId="74432EE0">
      <w:pPr>
        <w:pStyle w:val="ListParagraph"/>
        <w:numPr>
          <w:ilvl w:val="0"/>
          <w:numId w:val="1"/>
        </w:numPr>
        <w:rPr>
          <w:rFonts w:eastAsia="" w:eastAsiaTheme="minorEastAsia"/>
          <w:color w:val="000000" w:themeColor="text1" w:themeTint="FF" w:themeShade="FF"/>
          <w:sz w:val="24"/>
          <w:szCs w:val="24"/>
        </w:rPr>
      </w:pPr>
      <w:r w:rsidRPr="18546D4F" w:rsidR="7A9C66D9">
        <w:rPr>
          <w:rFonts w:eastAsia="" w:eastAsiaTheme="minorEastAsia"/>
          <w:color w:val="000000" w:themeColor="text1" w:themeTint="FF" w:themeShade="FF"/>
          <w:sz w:val="24"/>
          <w:szCs w:val="24"/>
        </w:rPr>
        <w:t>Enhanced Reconciliation Section.</w:t>
      </w:r>
    </w:p>
    <w:p w:rsidR="7A9C66D9" w:rsidP="18546D4F" w:rsidRDefault="7A9C66D9" w14:paraId="1849CB8B" w14:textId="020D0CBB">
      <w:pPr>
        <w:pStyle w:val="ListParagraph"/>
        <w:numPr>
          <w:ilvl w:val="0"/>
          <w:numId w:val="1"/>
        </w:numPr>
        <w:rPr>
          <w:rFonts w:eastAsia="" w:eastAsiaTheme="minorEastAsia"/>
          <w:color w:val="000000" w:themeColor="text1" w:themeTint="FF" w:themeShade="FF"/>
          <w:sz w:val="24"/>
          <w:szCs w:val="24"/>
        </w:rPr>
      </w:pPr>
      <w:r w:rsidRPr="18546D4F" w:rsidR="7A9C66D9">
        <w:rPr>
          <w:rFonts w:eastAsia="" w:eastAsiaTheme="minorEastAsia"/>
          <w:color w:val="000000" w:themeColor="text1" w:themeTint="FF" w:themeShade="FF"/>
          <w:sz w:val="24"/>
          <w:szCs w:val="24"/>
        </w:rPr>
        <w:t xml:space="preserve">Fixed </w:t>
      </w:r>
      <w:r w:rsidRPr="18546D4F" w:rsidR="7A9C66D9">
        <w:rPr>
          <w:rFonts w:eastAsia="" w:eastAsiaTheme="minorEastAsia"/>
          <w:color w:val="000000" w:themeColor="text1" w:themeTint="FF" w:themeShade="FF"/>
          <w:sz w:val="24"/>
          <w:szCs w:val="24"/>
        </w:rPr>
        <w:t>cell</w:t>
      </w:r>
      <w:r w:rsidRPr="18546D4F" w:rsidR="7A9C66D9">
        <w:rPr>
          <w:rFonts w:eastAsia="" w:eastAsiaTheme="minorEastAsia"/>
          <w:color w:val="000000" w:themeColor="text1" w:themeTint="FF" w:themeShade="FF"/>
          <w:sz w:val="24"/>
          <w:szCs w:val="24"/>
        </w:rPr>
        <w:t xml:space="preserve"> fill properties when using "SAVE TO XLSX REQUIRED FOR APPLICATION".</w:t>
      </w:r>
    </w:p>
    <w:p w:rsidR="7A9C66D9" w:rsidP="18546D4F" w:rsidRDefault="7A9C66D9" w14:paraId="05DBF1D7" w14:textId="3B91932D">
      <w:pPr>
        <w:pStyle w:val="ListParagraph"/>
        <w:numPr>
          <w:ilvl w:val="0"/>
          <w:numId w:val="1"/>
        </w:numPr>
        <w:rPr>
          <w:rFonts w:eastAsia="" w:eastAsiaTheme="minorEastAsia"/>
          <w:color w:val="000000" w:themeColor="text1" w:themeTint="FF" w:themeShade="FF"/>
          <w:sz w:val="24"/>
          <w:szCs w:val="24"/>
        </w:rPr>
      </w:pPr>
      <w:r w:rsidRPr="18546D4F" w:rsidR="7A9C66D9">
        <w:rPr>
          <w:rFonts w:eastAsia="" w:eastAsiaTheme="minorEastAsia"/>
          <w:color w:val="000000" w:themeColor="text1" w:themeTint="FF" w:themeShade="FF"/>
          <w:sz w:val="24"/>
          <w:szCs w:val="24"/>
        </w:rPr>
        <w:t xml:space="preserve">Fixed null values for specific upload issues in BUILD Online, fixed EVSE and Bi-Direction EVSE incentive values for </w:t>
      </w:r>
      <w:r w:rsidRPr="18546D4F" w:rsidR="7A9C66D9">
        <w:rPr>
          <w:rFonts w:eastAsia="" w:eastAsiaTheme="minorEastAsia"/>
          <w:color w:val="000000" w:themeColor="text1" w:themeTint="FF" w:themeShade="FF"/>
          <w:sz w:val="24"/>
          <w:szCs w:val="24"/>
        </w:rPr>
        <w:t>S</w:t>
      </w:r>
      <w:r w:rsidRPr="18546D4F" w:rsidR="7A9C66D9">
        <w:rPr>
          <w:rFonts w:eastAsia="" w:eastAsiaTheme="minorEastAsia"/>
          <w:color w:val="000000" w:themeColor="text1" w:themeTint="FF" w:themeShade="FF"/>
          <w:sz w:val="24"/>
          <w:szCs w:val="24"/>
        </w:rPr>
        <w:t>ingleFamily</w:t>
      </w:r>
      <w:r w:rsidRPr="18546D4F" w:rsidR="7A9C66D9">
        <w:rPr>
          <w:rFonts w:eastAsia="" w:eastAsiaTheme="minorEastAsia"/>
          <w:color w:val="000000" w:themeColor="text1" w:themeTint="FF" w:themeShade="FF"/>
          <w:sz w:val="24"/>
          <w:szCs w:val="24"/>
        </w:rPr>
        <w:t xml:space="preserve"> </w:t>
      </w:r>
      <w:r w:rsidRPr="18546D4F" w:rsidR="7A9C66D9">
        <w:rPr>
          <w:rFonts w:eastAsia="" w:eastAsiaTheme="minorEastAsia"/>
          <w:color w:val="000000" w:themeColor="text1" w:themeTint="FF" w:themeShade="FF"/>
          <w:sz w:val="24"/>
          <w:szCs w:val="24"/>
        </w:rPr>
        <w:t>selection.</w:t>
      </w:r>
    </w:p>
    <w:p w:rsidR="7A9C66D9" w:rsidP="18546D4F" w:rsidRDefault="7A9C66D9" w14:paraId="2B549A9A" w14:textId="5D45A3A8">
      <w:pPr>
        <w:pStyle w:val="ListParagraph"/>
        <w:numPr>
          <w:ilvl w:val="0"/>
          <w:numId w:val="1"/>
        </w:numPr>
        <w:rPr>
          <w:rFonts w:eastAsia="" w:eastAsiaTheme="minorEastAsia"/>
          <w:color w:val="000000" w:themeColor="text1" w:themeTint="FF" w:themeShade="FF"/>
          <w:sz w:val="24"/>
          <w:szCs w:val="24"/>
        </w:rPr>
      </w:pPr>
      <w:r w:rsidRPr="18546D4F" w:rsidR="7A9C66D9">
        <w:rPr>
          <w:rFonts w:eastAsia="" w:eastAsiaTheme="minorEastAsia"/>
          <w:color w:val="000000" w:themeColor="text1" w:themeTint="FF" w:themeShade="FF"/>
          <w:sz w:val="24"/>
          <w:szCs w:val="24"/>
        </w:rPr>
        <w:t>Fixed rounding for specific cases of calculated BUILD Incentives.</w:t>
      </w:r>
    </w:p>
    <w:p w:rsidR="0095612C" w:rsidP="0095612C" w:rsidRDefault="0095612C" w14:paraId="7E7C9966" w14:textId="16D05B43">
      <w:pPr>
        <w:rPr>
          <w:rFonts w:eastAsiaTheme="minorEastAsia"/>
          <w:color w:val="000000" w:themeColor="text1"/>
          <w:sz w:val="24"/>
          <w:szCs w:val="24"/>
        </w:rPr>
      </w:pPr>
      <w:r w:rsidRPr="3F8CA97A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V2.0.</w:t>
      </w:r>
      <w:r>
        <w:rPr>
          <w:rFonts w:eastAsiaTheme="minorEastAsia"/>
          <w:b/>
          <w:bCs/>
          <w:color w:val="000000" w:themeColor="text1"/>
          <w:sz w:val="24"/>
          <w:szCs w:val="24"/>
        </w:rPr>
        <w:t>5</w:t>
      </w:r>
      <w:r w:rsidRPr="3F8CA97A">
        <w:rPr>
          <w:rFonts w:eastAsiaTheme="minorEastAsia"/>
          <w:b/>
          <w:bCs/>
          <w:color w:val="000000" w:themeColor="text1"/>
          <w:sz w:val="24"/>
          <w:szCs w:val="24"/>
        </w:rPr>
        <w:t>:</w:t>
      </w:r>
    </w:p>
    <w:p w:rsidRPr="0095612C" w:rsidR="0095612C" w:rsidP="3F8CA97A" w:rsidRDefault="0095612C" w14:paraId="6AD16780" w14:textId="05D94C12">
      <w:pPr>
        <w:pStyle w:val="ListParagraph"/>
        <w:numPr>
          <w:ilvl w:val="0"/>
          <w:numId w:val="1"/>
        </w:numPr>
        <w:rPr>
          <w:rFonts w:eastAsiaTheme="minorEastAsia"/>
          <w:color w:val="000000" w:themeColor="text1"/>
          <w:sz w:val="24"/>
          <w:szCs w:val="24"/>
        </w:rPr>
      </w:pPr>
      <w:r w:rsidRPr="0095612C">
        <w:rPr>
          <w:rFonts w:eastAsiaTheme="minorEastAsia"/>
          <w:sz w:val="24"/>
          <w:szCs w:val="24"/>
        </w:rPr>
        <w:t>Added Reconciliation Section for BUILD Program staff use</w:t>
      </w:r>
      <w:r w:rsidRPr="3F8CA97A">
        <w:rPr>
          <w:rFonts w:eastAsiaTheme="minorEastAsia"/>
          <w:color w:val="000000" w:themeColor="text1"/>
          <w:sz w:val="24"/>
          <w:szCs w:val="24"/>
        </w:rPr>
        <w:t>.</w:t>
      </w:r>
    </w:p>
    <w:p w:rsidR="256E8529" w:rsidP="3F8CA97A" w:rsidRDefault="256E8529" w14:paraId="42CAF2BC" w14:textId="120527B8">
      <w:pPr>
        <w:rPr>
          <w:rFonts w:eastAsiaTheme="minorEastAsia"/>
          <w:color w:val="000000" w:themeColor="text1"/>
          <w:sz w:val="24"/>
          <w:szCs w:val="24"/>
        </w:rPr>
      </w:pPr>
      <w:r w:rsidRPr="3F8CA97A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V2.0.4:</w:t>
      </w:r>
    </w:p>
    <w:p w:rsidR="256E8529" w:rsidP="3F8CA97A" w:rsidRDefault="256E8529" w14:paraId="326968B3" w14:textId="0D200DDF">
      <w:pPr>
        <w:pStyle w:val="ListParagraph"/>
        <w:numPr>
          <w:ilvl w:val="0"/>
          <w:numId w:val="1"/>
        </w:numPr>
        <w:rPr>
          <w:rFonts w:eastAsiaTheme="minorEastAsia"/>
          <w:color w:val="000000" w:themeColor="text1"/>
          <w:sz w:val="24"/>
          <w:szCs w:val="24"/>
        </w:rPr>
      </w:pPr>
      <w:r w:rsidRPr="3F8CA97A">
        <w:rPr>
          <w:rFonts w:eastAsiaTheme="minorEastAsia"/>
          <w:sz w:val="24"/>
          <w:szCs w:val="24"/>
        </w:rPr>
        <w:t>Added</w:t>
      </w:r>
      <w:r w:rsidRPr="3F8CA97A">
        <w:rPr>
          <w:rFonts w:eastAsiaTheme="minorEastAsia"/>
          <w:color w:val="000000" w:themeColor="text1"/>
          <w:sz w:val="24"/>
          <w:szCs w:val="24"/>
        </w:rPr>
        <w:t xml:space="preserve"> central laundry and central domestic hot water feature for single family building types.</w:t>
      </w:r>
    </w:p>
    <w:p w:rsidR="6776AE60" w:rsidP="3F8CA97A" w:rsidRDefault="170181D9" w14:paraId="1021D269" w14:textId="15B96D37">
      <w:pPr>
        <w:rPr>
          <w:rFonts w:eastAsiaTheme="minorEastAsia"/>
          <w:color w:val="000000" w:themeColor="text1"/>
          <w:sz w:val="24"/>
          <w:szCs w:val="24"/>
        </w:rPr>
      </w:pPr>
      <w:r w:rsidRPr="3F8CA97A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V2.0.</w:t>
      </w:r>
      <w:r w:rsidRPr="3F8CA97A" w:rsidR="451B3F92">
        <w:rPr>
          <w:rFonts w:eastAsiaTheme="minorEastAsia"/>
          <w:b/>
          <w:bCs/>
          <w:color w:val="000000" w:themeColor="text1"/>
          <w:sz w:val="24"/>
          <w:szCs w:val="24"/>
        </w:rPr>
        <w:t>3</w:t>
      </w:r>
      <w:r w:rsidRPr="3F8CA97A">
        <w:rPr>
          <w:rFonts w:eastAsiaTheme="minorEastAsia"/>
          <w:b/>
          <w:bCs/>
          <w:color w:val="000000" w:themeColor="text1"/>
          <w:sz w:val="24"/>
          <w:szCs w:val="24"/>
        </w:rPr>
        <w:t>:</w:t>
      </w:r>
    </w:p>
    <w:p w:rsidR="6776AE60" w:rsidP="3F8CA97A" w:rsidRDefault="170181D9" w14:paraId="1AA5955D" w14:textId="3C6B43B9">
      <w:pPr>
        <w:pStyle w:val="ListParagraph"/>
        <w:numPr>
          <w:ilvl w:val="0"/>
          <w:numId w:val="9"/>
        </w:numPr>
        <w:rPr>
          <w:rFonts w:eastAsiaTheme="minorEastAsia"/>
          <w:color w:val="000000" w:themeColor="text1"/>
          <w:sz w:val="24"/>
          <w:szCs w:val="24"/>
        </w:rPr>
      </w:pPr>
      <w:r w:rsidRPr="3F8CA97A">
        <w:rPr>
          <w:rFonts w:eastAsiaTheme="minorEastAsia"/>
          <w:sz w:val="24"/>
          <w:szCs w:val="24"/>
        </w:rPr>
        <w:t>Fixed bug for “Save as XLSX...” button when selecting the master meter checkbox.</w:t>
      </w:r>
    </w:p>
    <w:p w:rsidR="6776AE60" w:rsidP="3F8CA97A" w:rsidRDefault="170181D9" w14:paraId="3DB90A97" w14:textId="2D05F5AE">
      <w:pPr>
        <w:pStyle w:val="ListParagraph"/>
        <w:numPr>
          <w:ilvl w:val="0"/>
          <w:numId w:val="9"/>
        </w:numPr>
        <w:rPr>
          <w:rFonts w:eastAsiaTheme="minorEastAsia"/>
          <w:color w:val="000000" w:themeColor="text1"/>
          <w:sz w:val="24"/>
          <w:szCs w:val="24"/>
        </w:rPr>
      </w:pPr>
      <w:r w:rsidRPr="3F8CA97A">
        <w:rPr>
          <w:rFonts w:eastAsiaTheme="minorEastAsia"/>
          <w:color w:val="000000" w:themeColor="text1"/>
          <w:sz w:val="24"/>
          <w:szCs w:val="24"/>
        </w:rPr>
        <w:t>A</w:t>
      </w:r>
      <w:r w:rsidRPr="3F8CA97A" w:rsidR="4BB24110">
        <w:rPr>
          <w:rFonts w:eastAsiaTheme="minorEastAsia"/>
          <w:color w:val="000000" w:themeColor="text1"/>
          <w:sz w:val="24"/>
          <w:szCs w:val="24"/>
        </w:rPr>
        <w:t>dded SMUD Neighborhood SolarShares incentive calculation and functionality</w:t>
      </w:r>
      <w:r w:rsidRPr="3F8CA97A">
        <w:rPr>
          <w:rFonts w:eastAsiaTheme="minorEastAsia"/>
          <w:color w:val="000000" w:themeColor="text1"/>
          <w:sz w:val="24"/>
          <w:szCs w:val="24"/>
        </w:rPr>
        <w:t>.</w:t>
      </w:r>
      <w:r w:rsidRPr="3F8CA97A">
        <w:rPr>
          <w:rFonts w:eastAsiaTheme="minorEastAsia"/>
          <w:b/>
          <w:bCs/>
          <w:color w:val="000000" w:themeColor="text1"/>
          <w:sz w:val="24"/>
          <w:szCs w:val="24"/>
        </w:rPr>
        <w:t xml:space="preserve"> </w:t>
      </w:r>
    </w:p>
    <w:p w:rsidR="6776AE60" w:rsidP="3F8CA97A" w:rsidRDefault="6776AE60" w14:paraId="45272E82" w14:textId="36119D42">
      <w:pPr>
        <w:rPr>
          <w:rFonts w:eastAsiaTheme="minorEastAsia"/>
          <w:color w:val="000000" w:themeColor="text1"/>
          <w:sz w:val="24"/>
          <w:szCs w:val="24"/>
        </w:rPr>
      </w:pPr>
      <w:r w:rsidRPr="3F8CA97A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V2.0.2:</w:t>
      </w:r>
    </w:p>
    <w:p w:rsidR="421E1684" w:rsidP="3F8CA97A" w:rsidRDefault="421E1684" w14:paraId="3343250F" w14:textId="126D179B">
      <w:pPr>
        <w:pStyle w:val="ListParagraph"/>
        <w:numPr>
          <w:ilvl w:val="0"/>
          <w:numId w:val="9"/>
        </w:numPr>
        <w:rPr>
          <w:rFonts w:eastAsiaTheme="minorEastAsia"/>
          <w:color w:val="000000" w:themeColor="text1"/>
          <w:sz w:val="24"/>
          <w:szCs w:val="24"/>
        </w:rPr>
      </w:pPr>
      <w:r w:rsidRPr="3F8CA97A">
        <w:rPr>
          <w:rFonts w:eastAsiaTheme="minorEastAsia"/>
          <w:color w:val="000000" w:themeColor="text1"/>
          <w:sz w:val="24"/>
          <w:szCs w:val="24"/>
        </w:rPr>
        <w:t>Updated to be compatible with new output file format from CBECC.</w:t>
      </w:r>
    </w:p>
    <w:p w:rsidR="421E1684" w:rsidP="3F8CA97A" w:rsidRDefault="421E1684" w14:paraId="172294C2" w14:textId="76F6181F">
      <w:pPr>
        <w:pStyle w:val="ListParagraph"/>
        <w:numPr>
          <w:ilvl w:val="0"/>
          <w:numId w:val="9"/>
        </w:numPr>
        <w:rPr>
          <w:rFonts w:eastAsiaTheme="minorEastAsia"/>
          <w:color w:val="000000" w:themeColor="text1"/>
          <w:sz w:val="24"/>
          <w:szCs w:val="24"/>
        </w:rPr>
      </w:pPr>
      <w:r w:rsidRPr="3F8CA97A">
        <w:rPr>
          <w:rFonts w:eastAsiaTheme="minorEastAsia"/>
          <w:color w:val="000000" w:themeColor="text1"/>
          <w:sz w:val="24"/>
          <w:szCs w:val="24"/>
        </w:rPr>
        <w:t>Fixed rounding bug for GHG emissions avoided when selecting the master meter checkbox.</w:t>
      </w:r>
    </w:p>
    <w:p w:rsidR="00395CD9" w:rsidP="3F8CA97A" w:rsidRDefault="00395CD9" w14:paraId="54C83940" w14:textId="34233C90">
      <w:pPr>
        <w:rPr>
          <w:rFonts w:eastAsiaTheme="minorEastAsia"/>
          <w:b/>
          <w:bCs/>
          <w:color w:val="000000" w:themeColor="text1"/>
          <w:sz w:val="24"/>
          <w:szCs w:val="24"/>
        </w:rPr>
      </w:pPr>
      <w:r w:rsidRPr="3F8CA97A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V2.0.1:</w:t>
      </w:r>
    </w:p>
    <w:p w:rsidRPr="00395CD9" w:rsidR="00395CD9" w:rsidP="3F8CA97A" w:rsidRDefault="00395CD9" w14:paraId="462186E8" w14:textId="1E5472D4">
      <w:pPr>
        <w:pStyle w:val="ListParagraph"/>
        <w:numPr>
          <w:ilvl w:val="0"/>
          <w:numId w:val="11"/>
        </w:numPr>
        <w:rPr>
          <w:rFonts w:eastAsiaTheme="minorEastAsia"/>
          <w:color w:val="000000" w:themeColor="text1"/>
          <w:sz w:val="24"/>
          <w:szCs w:val="24"/>
        </w:rPr>
      </w:pPr>
      <w:r w:rsidRPr="3F8CA97A">
        <w:rPr>
          <w:rFonts w:eastAsiaTheme="minorEastAsia"/>
          <w:color w:val="000000" w:themeColor="text1"/>
          <w:sz w:val="24"/>
          <w:szCs w:val="24"/>
        </w:rPr>
        <w:t xml:space="preserve">Updated </w:t>
      </w:r>
      <w:r w:rsidRPr="3F8CA97A" w:rsidR="009859DA">
        <w:rPr>
          <w:rFonts w:eastAsiaTheme="minorEastAsia"/>
          <w:color w:val="000000" w:themeColor="text1"/>
          <w:sz w:val="24"/>
          <w:szCs w:val="24"/>
        </w:rPr>
        <w:t>to be compatible with</w:t>
      </w:r>
      <w:r w:rsidRPr="3F8CA97A">
        <w:rPr>
          <w:rFonts w:eastAsiaTheme="minorEastAsia"/>
          <w:color w:val="000000" w:themeColor="text1"/>
          <w:sz w:val="24"/>
          <w:szCs w:val="24"/>
        </w:rPr>
        <w:t xml:space="preserve"> CBECC-Res 2022.1.0/2022.2.0, CBECC 2022.1.0/2022.2.0, </w:t>
      </w:r>
      <w:r w:rsidRPr="3F8CA97A" w:rsidR="00DB5EBF">
        <w:rPr>
          <w:rFonts w:eastAsiaTheme="minorEastAsia"/>
          <w:color w:val="000000" w:themeColor="text1"/>
          <w:sz w:val="24"/>
          <w:szCs w:val="24"/>
        </w:rPr>
        <w:t xml:space="preserve">and </w:t>
      </w:r>
      <w:r w:rsidRPr="3F8CA97A">
        <w:rPr>
          <w:rFonts w:eastAsiaTheme="minorEastAsia"/>
          <w:color w:val="000000" w:themeColor="text1"/>
          <w:sz w:val="24"/>
          <w:szCs w:val="24"/>
        </w:rPr>
        <w:t xml:space="preserve">EnergyPro 9.0. </w:t>
      </w:r>
    </w:p>
    <w:p w:rsidR="70388FC8" w:rsidP="3F8CA97A" w:rsidRDefault="70388FC8" w14:paraId="639AEDAF" w14:textId="7B8DD00A">
      <w:pPr>
        <w:rPr>
          <w:rFonts w:eastAsiaTheme="minorEastAsia"/>
          <w:b/>
          <w:bCs/>
          <w:color w:val="000000" w:themeColor="text1"/>
          <w:sz w:val="24"/>
          <w:szCs w:val="24"/>
        </w:rPr>
      </w:pPr>
      <w:r w:rsidRPr="3F8CA97A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V2.0:</w:t>
      </w:r>
    </w:p>
    <w:p w:rsidR="7DEEA58B" w:rsidP="4C1306D0" w:rsidRDefault="7DEEA58B" w14:paraId="73EFC841" w14:textId="5EA22E84">
      <w:pPr>
        <w:pStyle w:val="ListParagraph"/>
        <w:numPr>
          <w:ilvl w:val="0"/>
          <w:numId w:val="10"/>
        </w:numPr>
        <w:rPr>
          <w:color w:val="000000" w:themeColor="text1"/>
          <w:sz w:val="24"/>
          <w:szCs w:val="24"/>
        </w:rPr>
      </w:pPr>
      <w:r w:rsidRPr="4C1306D0">
        <w:rPr>
          <w:rFonts w:ascii="Calibri" w:hAnsi="Calibri" w:eastAsia="Calibri" w:cs="Calibri"/>
          <w:color w:val="000000" w:themeColor="text1"/>
          <w:sz w:val="24"/>
          <w:szCs w:val="24"/>
        </w:rPr>
        <w:t>Added new field for Building Name.</w:t>
      </w:r>
    </w:p>
    <w:p w:rsidR="70388FC8" w:rsidP="4C1306D0" w:rsidRDefault="70388FC8" w14:paraId="100F79E1" w14:textId="719368AD">
      <w:pPr>
        <w:pStyle w:val="ListParagraph"/>
        <w:numPr>
          <w:ilvl w:val="0"/>
          <w:numId w:val="10"/>
        </w:numPr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4C1306D0">
        <w:rPr>
          <w:rFonts w:ascii="Calibri" w:hAnsi="Calibri" w:eastAsia="Calibri" w:cs="Calibri"/>
          <w:color w:val="000000" w:themeColor="text1"/>
          <w:sz w:val="24"/>
          <w:szCs w:val="24"/>
        </w:rPr>
        <w:t>New mixed-fuel baseline for BUILD to align with the 2022 Energy Code prescriptive standards as specified by the 2022 Single family Residential and Multifamily ACM Reference Manuals. The mixed-fuel baseline changes are as follows:</w:t>
      </w:r>
    </w:p>
    <w:p w:rsidR="70388FC8" w:rsidP="46717DEE" w:rsidRDefault="70388FC8" w14:paraId="7620FEC9" w14:textId="28AB7911">
      <w:pPr>
        <w:pStyle w:val="ListParagraph"/>
        <w:numPr>
          <w:ilvl w:val="1"/>
          <w:numId w:val="10"/>
        </w:numPr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46717DEE">
        <w:rPr>
          <w:rFonts w:ascii="Calibri" w:hAnsi="Calibri" w:eastAsia="Calibri" w:cs="Calibri"/>
          <w:color w:val="000000" w:themeColor="text1"/>
          <w:sz w:val="24"/>
          <w:szCs w:val="24"/>
        </w:rPr>
        <w:t>Single Family</w:t>
      </w:r>
    </w:p>
    <w:p w:rsidR="70388FC8" w:rsidP="46717DEE" w:rsidRDefault="70388FC8" w14:paraId="50EE66DD" w14:textId="01B870B1">
      <w:pPr>
        <w:pStyle w:val="ListParagraph"/>
        <w:numPr>
          <w:ilvl w:val="2"/>
          <w:numId w:val="10"/>
        </w:numPr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46717DEE">
        <w:rPr>
          <w:rFonts w:ascii="Calibri" w:hAnsi="Calibri" w:eastAsia="Calibri" w:cs="Calibri"/>
          <w:color w:val="000000" w:themeColor="text1"/>
          <w:sz w:val="24"/>
          <w:szCs w:val="24"/>
        </w:rPr>
        <w:t>Space Heating - Heat Pump in Climate Zone (CZ) 3, 4, 13, and 14. Gas Furnace in CZ 1, 2, 5-12, 15, and 16.</w:t>
      </w:r>
    </w:p>
    <w:p w:rsidR="70388FC8" w:rsidP="46717DEE" w:rsidRDefault="70388FC8" w14:paraId="728FDCFB" w14:textId="66238F9E">
      <w:pPr>
        <w:pStyle w:val="ListParagraph"/>
        <w:numPr>
          <w:ilvl w:val="2"/>
          <w:numId w:val="10"/>
        </w:numPr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46717DEE">
        <w:rPr>
          <w:rFonts w:ascii="Calibri" w:hAnsi="Calibri" w:eastAsia="Calibri" w:cs="Calibri"/>
          <w:color w:val="000000" w:themeColor="text1"/>
          <w:sz w:val="24"/>
          <w:szCs w:val="24"/>
        </w:rPr>
        <w:t>Water Heating – NEEA T3 Heat Pump in CZ 1, 2, 5-12, 15, and 16. Gas tankless in CZ 3, 4, 13, and 14.</w:t>
      </w:r>
    </w:p>
    <w:p w:rsidR="70388FC8" w:rsidP="46717DEE" w:rsidRDefault="70388FC8" w14:paraId="077E5F1C" w14:textId="14B17CE7">
      <w:pPr>
        <w:pStyle w:val="ListParagraph"/>
        <w:numPr>
          <w:ilvl w:val="1"/>
          <w:numId w:val="10"/>
        </w:numPr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46717DEE">
        <w:rPr>
          <w:rFonts w:ascii="Calibri" w:hAnsi="Calibri" w:eastAsia="Calibri" w:cs="Calibri"/>
          <w:color w:val="000000" w:themeColor="text1"/>
          <w:sz w:val="24"/>
          <w:szCs w:val="24"/>
        </w:rPr>
        <w:t>Low-Rise Multifamily (3 stories or less)</w:t>
      </w:r>
    </w:p>
    <w:p w:rsidR="70388FC8" w:rsidP="46717DEE" w:rsidRDefault="70388FC8" w14:paraId="39E05FA1" w14:textId="7CDCEA1C">
      <w:pPr>
        <w:pStyle w:val="ListParagraph"/>
        <w:numPr>
          <w:ilvl w:val="2"/>
          <w:numId w:val="10"/>
        </w:numPr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46717DEE">
        <w:rPr>
          <w:rFonts w:ascii="Calibri" w:hAnsi="Calibri" w:eastAsia="Calibri" w:cs="Calibri"/>
          <w:color w:val="000000" w:themeColor="text1"/>
          <w:sz w:val="24"/>
          <w:szCs w:val="24"/>
        </w:rPr>
        <w:t>Space Heating - Heat Pump in CZ 1-15. Gas Furnace in CZ 16.</w:t>
      </w:r>
    </w:p>
    <w:p w:rsidR="70388FC8" w:rsidP="46717DEE" w:rsidRDefault="70388FC8" w14:paraId="4317AAF4" w14:textId="5F003B6F">
      <w:pPr>
        <w:pStyle w:val="ListParagraph"/>
        <w:numPr>
          <w:ilvl w:val="2"/>
          <w:numId w:val="10"/>
        </w:numPr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46717DEE">
        <w:rPr>
          <w:rFonts w:ascii="Calibri" w:hAnsi="Calibri" w:eastAsia="Calibri" w:cs="Calibri"/>
          <w:color w:val="000000" w:themeColor="text1"/>
          <w:sz w:val="24"/>
          <w:szCs w:val="24"/>
        </w:rPr>
        <w:t>Unitary Water Heating – Gas tankless in all CZ.</w:t>
      </w:r>
    </w:p>
    <w:p w:rsidR="70388FC8" w:rsidP="46717DEE" w:rsidRDefault="70388FC8" w14:paraId="16144F42" w14:textId="66AF7C8B">
      <w:pPr>
        <w:pStyle w:val="ListParagraph"/>
        <w:numPr>
          <w:ilvl w:val="2"/>
          <w:numId w:val="10"/>
        </w:numPr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46717DEE">
        <w:rPr>
          <w:rFonts w:ascii="Calibri" w:hAnsi="Calibri" w:eastAsia="Calibri" w:cs="Calibri"/>
          <w:color w:val="000000" w:themeColor="text1"/>
          <w:sz w:val="24"/>
          <w:szCs w:val="24"/>
        </w:rPr>
        <w:t>Central Water Heating – Gas central in all CZ.</w:t>
      </w:r>
    </w:p>
    <w:p w:rsidR="70388FC8" w:rsidP="46717DEE" w:rsidRDefault="70388FC8" w14:paraId="45FC203C" w14:textId="7D261B89">
      <w:pPr>
        <w:pStyle w:val="ListParagraph"/>
        <w:numPr>
          <w:ilvl w:val="1"/>
          <w:numId w:val="10"/>
        </w:numPr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46717DEE">
        <w:rPr>
          <w:rFonts w:ascii="Calibri" w:hAnsi="Calibri" w:eastAsia="Calibri" w:cs="Calibri"/>
          <w:color w:val="000000" w:themeColor="text1"/>
          <w:sz w:val="24"/>
          <w:szCs w:val="24"/>
        </w:rPr>
        <w:t>Mid- and High-Rise Multifamily (4 stories or more)</w:t>
      </w:r>
    </w:p>
    <w:p w:rsidR="70388FC8" w:rsidP="46717DEE" w:rsidRDefault="70388FC8" w14:paraId="26707FA6" w14:textId="1F2AC30A">
      <w:pPr>
        <w:pStyle w:val="ListParagraph"/>
        <w:numPr>
          <w:ilvl w:val="2"/>
          <w:numId w:val="10"/>
        </w:numPr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46717DEE">
        <w:rPr>
          <w:rFonts w:ascii="Calibri" w:hAnsi="Calibri" w:eastAsia="Calibri" w:cs="Calibri"/>
          <w:color w:val="000000" w:themeColor="text1"/>
          <w:sz w:val="24"/>
          <w:szCs w:val="24"/>
        </w:rPr>
        <w:t>Space Heating - Heat Pump in CZ 2-15. Dual-Fuel Heat Pump and Gas Furnace in CZ 1, 16.</w:t>
      </w:r>
    </w:p>
    <w:p w:rsidR="70388FC8" w:rsidP="46717DEE" w:rsidRDefault="70388FC8" w14:paraId="1AE4B672" w14:textId="162A78E9">
      <w:pPr>
        <w:pStyle w:val="ListParagraph"/>
        <w:numPr>
          <w:ilvl w:val="2"/>
          <w:numId w:val="10"/>
        </w:numPr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46717DEE">
        <w:rPr>
          <w:rFonts w:ascii="Calibri" w:hAnsi="Calibri" w:eastAsia="Calibri" w:cs="Calibri"/>
          <w:color w:val="000000" w:themeColor="text1"/>
          <w:sz w:val="24"/>
          <w:szCs w:val="24"/>
        </w:rPr>
        <w:t>Unitary Water Heating –Gas tankless in all CZ.</w:t>
      </w:r>
    </w:p>
    <w:p w:rsidR="70388FC8" w:rsidP="46717DEE" w:rsidRDefault="70388FC8" w14:paraId="5FA3CDF7" w14:textId="727411F7">
      <w:pPr>
        <w:pStyle w:val="ListParagraph"/>
        <w:numPr>
          <w:ilvl w:val="2"/>
          <w:numId w:val="10"/>
        </w:numPr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46717DEE">
        <w:rPr>
          <w:rFonts w:ascii="Calibri" w:hAnsi="Calibri" w:eastAsia="Calibri" w:cs="Calibri"/>
          <w:color w:val="000000" w:themeColor="text1"/>
          <w:sz w:val="24"/>
          <w:szCs w:val="24"/>
        </w:rPr>
        <w:t>Central Water Heating –Gas central in all CZ.</w:t>
      </w:r>
    </w:p>
    <w:p w:rsidR="70388FC8" w:rsidP="46717DEE" w:rsidRDefault="70388FC8" w14:paraId="2F1F34BA" w14:textId="32EF4DAD">
      <w:pPr>
        <w:pStyle w:val="ListParagraph"/>
        <w:numPr>
          <w:ilvl w:val="2"/>
          <w:numId w:val="10"/>
        </w:numPr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46717DEE">
        <w:rPr>
          <w:rFonts w:ascii="Calibri" w:hAnsi="Calibri" w:eastAsia="Calibri" w:cs="Calibri"/>
          <w:color w:val="000000" w:themeColor="text1"/>
          <w:sz w:val="24"/>
          <w:szCs w:val="24"/>
        </w:rPr>
        <w:lastRenderedPageBreak/>
        <w:t xml:space="preserve">Solar PV - Now required with certain conditions and exceptions based on available area. </w:t>
      </w:r>
    </w:p>
    <w:p w:rsidR="70388FC8" w:rsidP="46717DEE" w:rsidRDefault="70388FC8" w14:paraId="7EB0F7C3" w14:textId="4FFFAB1F">
      <w:pPr>
        <w:pStyle w:val="ListParagraph"/>
        <w:numPr>
          <w:ilvl w:val="2"/>
          <w:numId w:val="10"/>
        </w:numPr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46717DEE">
        <w:rPr>
          <w:rFonts w:ascii="Calibri" w:hAnsi="Calibri" w:eastAsia="Calibri" w:cs="Calibri"/>
          <w:color w:val="000000" w:themeColor="text1"/>
          <w:sz w:val="24"/>
          <w:szCs w:val="24"/>
        </w:rPr>
        <w:t xml:space="preserve">Battery – Now required with certain conditions and exceptions based on available area. </w:t>
      </w:r>
    </w:p>
    <w:p w:rsidR="70388FC8" w:rsidP="18546D4F" w:rsidRDefault="70388FC8" w14:paraId="558E56DB" w14:textId="16E82992">
      <w:pPr>
        <w:pStyle w:val="ListParagraph"/>
        <w:numPr>
          <w:ilvl w:val="0"/>
          <w:numId w:val="10"/>
        </w:numPr>
        <w:rPr>
          <w:rFonts w:ascii="Calibri" w:hAnsi="Calibri" w:eastAsia="Calibri" w:cs="Calibri"/>
          <w:color w:val="000000" w:themeColor="text1" w:themeTint="FF" w:themeShade="FF"/>
          <w:sz w:val="24"/>
          <w:szCs w:val="24"/>
        </w:rPr>
      </w:pPr>
      <w:r w:rsidRPr="18546D4F" w:rsidR="70388FC8">
        <w:rPr>
          <w:rFonts w:ascii="Calibri" w:hAnsi="Calibri" w:eastAsia="Calibri" w:cs="Calibri"/>
          <w:color w:val="000000" w:themeColor="text1" w:themeTint="FF" w:themeShade="FF"/>
          <w:sz w:val="24"/>
          <w:szCs w:val="24"/>
        </w:rPr>
        <w:t>Backward compatibility with 2019 energy model output files is not supported.</w:t>
      </w:r>
    </w:p>
    <w:sectPr w:rsidRPr="00290E54" w:rsidR="46717DEE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8F9790"/>
    <w:multiLevelType w:val="hybridMultilevel"/>
    <w:tmpl w:val="81A4D4D4"/>
    <w:lvl w:ilvl="0" w:tplc="4C4EC30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91221F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F301D9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CD0ECF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BD2A78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A16411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D1CC5E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734383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7C2CB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55DFE13"/>
    <w:multiLevelType w:val="hybridMultilevel"/>
    <w:tmpl w:val="9E50F08E"/>
    <w:lvl w:ilvl="0" w:tplc="41CA55A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E4547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1DCFD6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646F0C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8D99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7B44DF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1C40B0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1CA8B5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CB6DF2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29A9375"/>
    <w:multiLevelType w:val="hybridMultilevel"/>
    <w:tmpl w:val="3238D688"/>
    <w:lvl w:ilvl="0" w:tplc="D4C2B1E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C9CAAA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CFC2D6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6EAD5A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CAE4DD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F8A90D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9ACD44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FDA138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36CA6C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65C43A8"/>
    <w:multiLevelType w:val="hybridMultilevel"/>
    <w:tmpl w:val="84EA741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042FB7F"/>
    <w:multiLevelType w:val="hybridMultilevel"/>
    <w:tmpl w:val="9B964158"/>
    <w:lvl w:ilvl="0" w:tplc="3B2A337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2784BD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01E668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C2E22B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03E005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22493D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660D5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A6CC87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314712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3849020"/>
    <w:multiLevelType w:val="hybridMultilevel"/>
    <w:tmpl w:val="AC802254"/>
    <w:lvl w:ilvl="0" w:tplc="6440854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9BECEF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F64681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454693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C62C69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CC6B4E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FE434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B4624C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4DA11D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F92CF8F"/>
    <w:multiLevelType w:val="hybridMultilevel"/>
    <w:tmpl w:val="F1A6021A"/>
    <w:lvl w:ilvl="0" w:tplc="0B3C5F7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6D099C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9A87D1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3BADE3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8B02DE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D8C0A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AD8639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C84274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C121A7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17615D4"/>
    <w:multiLevelType w:val="hybridMultilevel"/>
    <w:tmpl w:val="4558CD4C"/>
    <w:lvl w:ilvl="0" w:tplc="68EEF45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928D38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7AA1E6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052662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7B407D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DD470A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7F00E6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ABE818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92EA16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0F25774"/>
    <w:multiLevelType w:val="hybridMultilevel"/>
    <w:tmpl w:val="A2AC0958"/>
    <w:lvl w:ilvl="0" w:tplc="EA9E504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4140DD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80EABD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88E49D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B3058E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714D2A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92C9E0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EA097F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A96593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D2B6602"/>
    <w:multiLevelType w:val="hybridMultilevel"/>
    <w:tmpl w:val="A1B4EF16"/>
    <w:lvl w:ilvl="0" w:tplc="A372CC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A94C67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8AC0F1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12CCA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646736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04292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FD630D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5F43A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F6E85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F31133A"/>
    <w:multiLevelType w:val="hybridMultilevel"/>
    <w:tmpl w:val="721E8020"/>
    <w:lvl w:ilvl="0" w:tplc="B95EED9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0B66EA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AB0653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2452D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34C0BA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8A8F4D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1F248F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89AF31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782720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985623590">
    <w:abstractNumId w:val="7"/>
  </w:num>
  <w:num w:numId="2" w16cid:durableId="2030713936">
    <w:abstractNumId w:val="2"/>
  </w:num>
  <w:num w:numId="3" w16cid:durableId="1318722778">
    <w:abstractNumId w:val="5"/>
  </w:num>
  <w:num w:numId="4" w16cid:durableId="1931350998">
    <w:abstractNumId w:val="6"/>
  </w:num>
  <w:num w:numId="5" w16cid:durableId="410469947">
    <w:abstractNumId w:val="9"/>
  </w:num>
  <w:num w:numId="6" w16cid:durableId="1379549403">
    <w:abstractNumId w:val="1"/>
  </w:num>
  <w:num w:numId="7" w16cid:durableId="224148634">
    <w:abstractNumId w:val="8"/>
  </w:num>
  <w:num w:numId="8" w16cid:durableId="1205866377">
    <w:abstractNumId w:val="10"/>
  </w:num>
  <w:num w:numId="9" w16cid:durableId="825127147">
    <w:abstractNumId w:val="0"/>
  </w:num>
  <w:num w:numId="10" w16cid:durableId="2038657471">
    <w:abstractNumId w:val="4"/>
  </w:num>
  <w:num w:numId="11" w16cid:durableId="18721837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2613B8D"/>
    <w:rsid w:val="00290E54"/>
    <w:rsid w:val="00395CD9"/>
    <w:rsid w:val="00472CA1"/>
    <w:rsid w:val="0095612C"/>
    <w:rsid w:val="009859DA"/>
    <w:rsid w:val="00D02CA1"/>
    <w:rsid w:val="00DB5EBF"/>
    <w:rsid w:val="0151A22B"/>
    <w:rsid w:val="059D1316"/>
    <w:rsid w:val="06A561A9"/>
    <w:rsid w:val="0A89BB1B"/>
    <w:rsid w:val="0E0E8545"/>
    <w:rsid w:val="0FAA55A6"/>
    <w:rsid w:val="14D98A57"/>
    <w:rsid w:val="15B6DA6F"/>
    <w:rsid w:val="16C44885"/>
    <w:rsid w:val="170181D9"/>
    <w:rsid w:val="18546D4F"/>
    <w:rsid w:val="1E350E26"/>
    <w:rsid w:val="1FD0DE87"/>
    <w:rsid w:val="2114588E"/>
    <w:rsid w:val="243B760F"/>
    <w:rsid w:val="256E8529"/>
    <w:rsid w:val="26B10734"/>
    <w:rsid w:val="2D9559B9"/>
    <w:rsid w:val="2D9E6CA1"/>
    <w:rsid w:val="356AE08B"/>
    <w:rsid w:val="389BBD77"/>
    <w:rsid w:val="3DCF15C6"/>
    <w:rsid w:val="3F8CA97A"/>
    <w:rsid w:val="421E1684"/>
    <w:rsid w:val="451B3F92"/>
    <w:rsid w:val="46717DEE"/>
    <w:rsid w:val="4BB24110"/>
    <w:rsid w:val="4C1306D0"/>
    <w:rsid w:val="52CC05EA"/>
    <w:rsid w:val="5E8835E1"/>
    <w:rsid w:val="5EF997CA"/>
    <w:rsid w:val="601F1935"/>
    <w:rsid w:val="62613B8D"/>
    <w:rsid w:val="63F528A7"/>
    <w:rsid w:val="6776AE60"/>
    <w:rsid w:val="69AC57B4"/>
    <w:rsid w:val="6BABD284"/>
    <w:rsid w:val="6DF4AC09"/>
    <w:rsid w:val="6E365B1A"/>
    <w:rsid w:val="6E3D1331"/>
    <w:rsid w:val="70388FC8"/>
    <w:rsid w:val="7354439E"/>
    <w:rsid w:val="741DD080"/>
    <w:rsid w:val="777D84F9"/>
    <w:rsid w:val="7A9C66D9"/>
    <w:rsid w:val="7D049E87"/>
    <w:rsid w:val="7D097C92"/>
    <w:rsid w:val="7DEEA58B"/>
    <w:rsid w:val="7EAA9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13B8D"/>
  <w15:chartTrackingRefBased/>
  <w15:docId w15:val="{FA31989C-A38B-406C-B909-64BF1A032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sid w:val="00D02CA1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02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2CA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D02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2CA1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D02CA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BDBC12161E3F47B921A962E00D0FF0" ma:contentTypeVersion="16" ma:contentTypeDescription="Create a new document." ma:contentTypeScope="" ma:versionID="4b3910f6aa4f85b53ca7eaca20f9bda9">
  <xsd:schema xmlns:xsd="http://www.w3.org/2001/XMLSchema" xmlns:xs="http://www.w3.org/2001/XMLSchema" xmlns:p="http://schemas.microsoft.com/office/2006/metadata/properties" xmlns:ns2="5d11e45f-641b-4baa-b376-c7148953b4c3" xmlns:ns3="e572fa78-d10a-4822-a1d4-215384db5bcf" targetNamespace="http://schemas.microsoft.com/office/2006/metadata/properties" ma:root="true" ma:fieldsID="b7ac1e073266ea61b3cba1074378debd" ns2:_="" ns3:_="">
    <xsd:import namespace="5d11e45f-641b-4baa-b376-c7148953b4c3"/>
    <xsd:import namespace="e572fa78-d10a-4822-a1d4-215384db5bc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1e45f-641b-4baa-b376-c7148953b4c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502009f-0a04-423d-915c-c806e2e8b5b0}" ma:internalName="TaxCatchAll" ma:showField="CatchAllData" ma:web="5d11e45f-641b-4baa-b376-c7148953b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72fa78-d10a-4822-a1d4-215384db5b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description="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6df981b-247c-4b11-954d-40cb195196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72fa78-d10a-4822-a1d4-215384db5bcf">
      <Terms xmlns="http://schemas.microsoft.com/office/infopath/2007/PartnerControls"/>
    </lcf76f155ced4ddcb4097134ff3c332f>
    <TaxCatchAll xmlns="5d11e45f-641b-4baa-b376-c7148953b4c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315180-4DE6-4091-99E3-A34F95164536}"/>
</file>

<file path=customXml/itemProps2.xml><?xml version="1.0" encoding="utf-8"?>
<ds:datastoreItem xmlns:ds="http://schemas.openxmlformats.org/officeDocument/2006/customXml" ds:itemID="{D80514DD-F465-403A-9C0B-9E92FCFBC632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e572fa78-d10a-4822-a1d4-215384db5bcf"/>
    <ds:schemaRef ds:uri="5d11e45f-641b-4baa-b376-c7148953b4c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0F5436F-E602-4097-8974-8805C50DC92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Release Notes for Custom Path Tool V2.0.3</dc:title>
  <dc:subject/>
  <dc:creator>California Energy Commission</dc:creator>
  <cp:keywords/>
  <dc:description/>
  <cp:lastModifiedBy>Chac, Erica@Energy</cp:lastModifiedBy>
  <cp:revision>18</cp:revision>
  <dcterms:created xsi:type="dcterms:W3CDTF">2022-12-20T19:24:00Z</dcterms:created>
  <dcterms:modified xsi:type="dcterms:W3CDTF">2026-03-06T17:35:03Z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0x010100F3BDBC12161E3F47B921A962E00D0FF0</vt:lpwstr>
  </property>
  <property fmtid="{D5CDD505-2E9C-101B-9397-08002B2CF9AE}" pid="3" name="MediaServiceImageTags">
    <vt:lpwstr/>
  </property>
  <property fmtid="{D5CDD505-2E9C-101B-9397-08002B2CF9AE}" pid="5" name="docLang">
    <vt:lpwstr>en</vt:lpwstr>
  </property>
</Properties>
</file>